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A6E" w:rsidRDefault="00854A6E" w:rsidP="00854A6E">
      <w:pPr>
        <w:jc w:val="center"/>
        <w:rPr>
          <w:rFonts w:eastAsia="Times New Roman"/>
        </w:rPr>
      </w:pPr>
      <w:r>
        <w:rPr>
          <w:rFonts w:eastAsia="Times New Roman"/>
        </w:rPr>
        <w:t>Лекция 11.  Классификация помехоустойчивых кодов. Циклические коды</w:t>
      </w:r>
    </w:p>
    <w:p w:rsidR="00854A6E" w:rsidRDefault="00854A6E" w:rsidP="00854A6E">
      <w:pPr>
        <w:jc w:val="center"/>
      </w:pPr>
    </w:p>
    <w:p w:rsidR="00854A6E" w:rsidRDefault="00854A6E" w:rsidP="00854A6E">
      <w:pPr>
        <w:jc w:val="center"/>
      </w:pPr>
      <w:r>
        <w:t>Содержание лекции:</w:t>
      </w:r>
    </w:p>
    <w:p w:rsidR="00854A6E" w:rsidRDefault="00854A6E" w:rsidP="00854A6E">
      <w:pPr>
        <w:jc w:val="center"/>
        <w:rPr>
          <w:rFonts w:eastAsia="Times New Roman"/>
        </w:rPr>
      </w:pPr>
      <w:r>
        <w:rPr>
          <w:rFonts w:eastAsia="Times New Roman"/>
        </w:rPr>
        <w:t>- классификация помехоустойчивых кодов. Циклические коды. Обнаружение ошибок при циклическом кодировании. Определение места ошибки. Выбор образующего полинома.</w:t>
      </w:r>
    </w:p>
    <w:p w:rsidR="00854A6E" w:rsidRDefault="00854A6E" w:rsidP="00854A6E">
      <w:pPr>
        <w:jc w:val="center"/>
        <w:rPr>
          <w:rFonts w:eastAsia="Times New Roman"/>
        </w:rPr>
      </w:pPr>
    </w:p>
    <w:p w:rsidR="00854A6E" w:rsidRDefault="00854A6E" w:rsidP="00854A6E">
      <w:pPr>
        <w:jc w:val="center"/>
      </w:pPr>
      <w:r>
        <w:t>Цель лекции:</w:t>
      </w:r>
    </w:p>
    <w:p w:rsidR="00854A6E" w:rsidRDefault="00854A6E" w:rsidP="00854A6E">
      <w:pPr>
        <w:jc w:val="center"/>
      </w:pPr>
      <w:r>
        <w:t>- получить знания основ помехоустойчивого кодирования.</w:t>
      </w:r>
    </w:p>
    <w:p w:rsidR="00854A6E" w:rsidRDefault="00854A6E" w:rsidP="00854A6E">
      <w:pPr>
        <w:jc w:val="center"/>
      </w:pPr>
    </w:p>
    <w:p w:rsidR="00854A6E" w:rsidRDefault="00854A6E" w:rsidP="00854A6E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790F17E" wp14:editId="2E8D3249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38500" cy="238125"/>
            <wp:effectExtent l="0" t="0" r="0" b="9525"/>
            <wp:wrapSquare wrapText="bothSides"/>
            <wp:docPr id="1" name="Picture 49" descr="Подпись: Рисунок 1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Подпись: Рисунок 11.1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 wp14:anchorId="79CEE73E" wp14:editId="118A35B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71800" cy="2247900"/>
            <wp:effectExtent l="0" t="0" r="0" b="0"/>
            <wp:wrapSquare wrapText="bothSides"/>
            <wp:docPr id="2" name="Picture 50" descr="C:\Users\Василий\Desktop\Нов лек ТЭС\Лекции ТЭС последние\ГЛАВА 2_files\image2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Василий\Desktop\Нов лек ТЭС\Лекции ТЭС последние\ГЛАВА 2_files\image212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4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Помехоустойчивые коды (см. рисунок 11.1) делятся на блочные и непре</w:t>
      </w:r>
      <w:r>
        <w:softHyphen/>
        <w:t>рывные. К блочным относятся коды, в которых каждому сообще</w:t>
      </w:r>
      <w:r>
        <w:softHyphen/>
        <w:t xml:space="preserve">нию соответствует блок из </w:t>
      </w:r>
      <w:r>
        <w:rPr>
          <w:i/>
          <w:iCs/>
        </w:rPr>
        <w:t xml:space="preserve">п </w:t>
      </w:r>
      <w:r>
        <w:t>символов (разрядов) или блоки с разным числом символов. Непрерывные коды, к которым отно</w:t>
      </w:r>
      <w:r>
        <w:softHyphen/>
        <w:t>сятся рекуррентные (называемые также сверточными), представ</w:t>
      </w:r>
      <w:r>
        <w:softHyphen/>
        <w:t>ляют собой непрерывные последовательности единичных элемен</w:t>
      </w:r>
      <w:r>
        <w:softHyphen/>
        <w:t>тов, не разделенные на блоки. В таких кодах избыточные разря</w:t>
      </w:r>
      <w:r>
        <w:softHyphen/>
        <w:t>ды помещаются в определенном порядке между информацион</w:t>
      </w:r>
      <w:r>
        <w:softHyphen/>
        <w:t>ными. В разделимых кодах элементы информационной и прове</w:t>
      </w:r>
      <w:r>
        <w:softHyphen/>
        <w:t>рочной частей кодовой комбинации всегда стоят на определенных местах. В неразделимых кодах деление на информационные и про</w:t>
      </w:r>
      <w:r>
        <w:softHyphen/>
        <w:t xml:space="preserve">верочные разряды отсутствует. К таким кодам относится код с постоянным весом. Код    называется линейным, если любая разрешенная кодовая комбинация может быть получена в результате линейной операции над набором </w:t>
      </w:r>
      <w:r>
        <w:rPr>
          <w:i/>
          <w:iCs/>
          <w:lang w:val="en-US"/>
        </w:rPr>
        <w:t>k</w:t>
      </w:r>
      <w:r>
        <w:rPr>
          <w:i/>
          <w:iCs/>
        </w:rPr>
        <w:t xml:space="preserve">  </w:t>
      </w:r>
      <w:r>
        <w:t>ненулевых линейно-независимых кодовых комбинаций. В система</w:t>
      </w:r>
      <w:r>
        <w:softHyphen/>
        <w:t>тических кодах проверочные элементы формируются линейным преобразованием информационных.</w:t>
      </w:r>
    </w:p>
    <w:p w:rsidR="00854A6E" w:rsidRDefault="00854A6E" w:rsidP="00854A6E">
      <w:pPr>
        <w:jc w:val="center"/>
      </w:pPr>
      <w:r>
        <w:rPr>
          <w:i/>
          <w:iCs/>
        </w:rPr>
        <w:t>Циклические коды</w:t>
      </w:r>
      <w:r>
        <w:t xml:space="preserve"> относятся к классу линейных систематиче</w:t>
      </w:r>
      <w:r>
        <w:softHyphen/>
        <w:t>ских кодов и обладают всеми их свойствами. Удобно рассматри</w:t>
      </w:r>
      <w:r>
        <w:softHyphen/>
        <w:t>вать кодовые комбинации циклического кода не в в</w:t>
      </w:r>
      <w:r>
        <w:rPr>
          <w:lang w:val="kk-KZ"/>
        </w:rPr>
        <w:t>и</w:t>
      </w:r>
      <w:r>
        <w:t>де последо</w:t>
      </w:r>
      <w:r>
        <w:softHyphen/>
        <w:t>вательности нулей и единиц, а в виде полинома некоторой сте</w:t>
      </w:r>
      <w:r>
        <w:softHyphen/>
        <w:t>пени. Любое число в любой системе счисления можно предста</w:t>
      </w:r>
      <w:r>
        <w:softHyphen/>
        <w:t>вить в общем виде как</w:t>
      </w:r>
    </w:p>
    <w:p w:rsidR="00854A6E" w:rsidRDefault="00854A6E" w:rsidP="00854A6E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7E3BF250" wp14:editId="5CCBEDC8">
            <wp:extent cx="2438400" cy="219075"/>
            <wp:effectExtent l="0" t="0" r="0" b="9525"/>
            <wp:docPr id="3" name="Picture 3" descr="C:\Users\Василий\Desktop\Нов лек ТЭС\Лекции ТЭС последние\ГЛАВА 2_files\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C:\Users\Василий\Desktop\Нов лек ТЭС\Лекции ТЭС последние\ГЛАВА 2_files\image213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,                    </w:t>
      </w:r>
      <w:r>
        <w:rPr>
          <w:spacing w:val="-2"/>
        </w:rPr>
        <w:t>(11.1)</w:t>
      </w:r>
    </w:p>
    <w:p w:rsidR="00854A6E" w:rsidRDefault="00854A6E" w:rsidP="00854A6E">
      <w:pPr>
        <w:jc w:val="center"/>
      </w:pPr>
      <w:r>
        <w:t xml:space="preserve">где </w:t>
      </w:r>
      <w:r>
        <w:rPr>
          <w:i/>
          <w:iCs/>
        </w:rPr>
        <w:t xml:space="preserve">х </w:t>
      </w:r>
      <w:r>
        <w:t xml:space="preserve">— основание системы счисления; </w:t>
      </w:r>
      <w:proofErr w:type="spellStart"/>
      <w:r>
        <w:rPr>
          <w:i/>
          <w:iCs/>
          <w:lang w:val="en-US"/>
        </w:rPr>
        <w:t>a</w:t>
      </w:r>
      <w:r>
        <w:rPr>
          <w:i/>
          <w:iCs/>
          <w:vertAlign w:val="subscript"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 xml:space="preserve">- цифры данной системы счисления; </w:t>
      </w:r>
      <w:r>
        <w:rPr>
          <w:i/>
          <w:iCs/>
        </w:rPr>
        <w:t>п</w:t>
      </w:r>
      <w:r>
        <w:t xml:space="preserve">-1, </w:t>
      </w:r>
      <w:r>
        <w:rPr>
          <w:i/>
          <w:iCs/>
        </w:rPr>
        <w:t>п</w:t>
      </w:r>
      <w:r>
        <w:t>-</w:t>
      </w:r>
      <w:r>
        <w:rPr>
          <w:spacing w:val="24"/>
        </w:rPr>
        <w:t>2,...</w:t>
      </w:r>
      <w:r>
        <w:t xml:space="preserve"> — показатель степени, в которую возво</w:t>
      </w:r>
      <w:r>
        <w:softHyphen/>
        <w:t>дится основание, и одновременно порядковые номера, которые за</w:t>
      </w:r>
      <w:r>
        <w:softHyphen/>
        <w:t>нимают разряды, начиная от старшего, кончая нулевым. Для дво</w:t>
      </w:r>
      <w:r>
        <w:softHyphen/>
        <w:t xml:space="preserve">ичной системы </w:t>
      </w:r>
      <w:r>
        <w:rPr>
          <w:i/>
          <w:iCs/>
        </w:rPr>
        <w:t xml:space="preserve">х=2, </w:t>
      </w:r>
      <w:r>
        <w:t xml:space="preserve">а </w:t>
      </w:r>
      <w:proofErr w:type="spellStart"/>
      <w:r>
        <w:rPr>
          <w:i/>
          <w:iCs/>
          <w:lang w:val="en-US"/>
        </w:rPr>
        <w:t>a</w:t>
      </w:r>
      <w:r>
        <w:rPr>
          <w:i/>
          <w:iCs/>
          <w:vertAlign w:val="subscript"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>либо «0», либо «1».</w:t>
      </w:r>
    </w:p>
    <w:p w:rsidR="00854A6E" w:rsidRDefault="00854A6E" w:rsidP="00854A6E">
      <w:pPr>
        <w:jc w:val="center"/>
      </w:pPr>
      <w:r>
        <w:t>Очевидно, что при записи кодовой комбинации в виде много</w:t>
      </w:r>
      <w:r>
        <w:softHyphen/>
        <w:t xml:space="preserve">члена единица в 1-м разряде записывается членом </w:t>
      </w:r>
      <w:r>
        <w:rPr>
          <w:noProof/>
          <w:vertAlign w:val="subscript"/>
        </w:rPr>
        <w:drawing>
          <wp:inline distT="0" distB="0" distL="0" distR="0" wp14:anchorId="166E0247" wp14:editId="155A117F">
            <wp:extent cx="247650" cy="161925"/>
            <wp:effectExtent l="0" t="0" r="0" b="9525"/>
            <wp:docPr id="4" name="Picture 4" descr="C:\Users\Василий\Desktop\Нов лек ТЭС\Лекции ТЭС последние\ГЛАВА 2_files\image2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C:\Users\Василий\Desktop\Нов лек ТЭС\Лекции ТЭС последние\ГЛАВА 2_files\image214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, </w:t>
      </w:r>
      <w:r>
        <w:t>а нуль во</w:t>
      </w:r>
      <w:r>
        <w:softHyphen/>
        <w:t xml:space="preserve">обще не записывается. Представление кодовых многочленов позволяет установить однозначное соответствие между ними и свести действия над комбинациями к действию над многочленами. Так, сложение двоичных многочленов сводится к сложению по модулю 2 коэффициентов при равных степенях переменной </w:t>
      </w:r>
      <w:r>
        <w:rPr>
          <w:i/>
          <w:iCs/>
          <w:lang w:val="en-US"/>
        </w:rPr>
        <w:t>x</w:t>
      </w:r>
      <w:r>
        <w:t>. Например,</w:t>
      </w:r>
    </w:p>
    <w:p w:rsidR="00854A6E" w:rsidRDefault="00854A6E" w:rsidP="00854A6E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3B5DF55A" wp14:editId="1E9A4AB9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514475" cy="771525"/>
            <wp:effectExtent l="0" t="0" r="9525" b="9525"/>
            <wp:wrapSquare wrapText="bothSides"/>
            <wp:docPr id="5" name="Picture 51" descr="C:\Users\Василий\Desktop\Нов лек ТЭС\Лекции ТЭС последние\ГЛАВА 2_files\image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Василий\Desktop\Нов лек ТЭС\Лекции ТЭС последние\ГЛАВА 2_files\image215.jpg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0" wp14:anchorId="20316A8F" wp14:editId="22D1B12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90600" cy="771525"/>
            <wp:effectExtent l="0" t="0" r="0" b="9525"/>
            <wp:wrapSquare wrapText="bothSides"/>
            <wp:docPr id="6" name="Picture 52" descr="C:\Users\Василий\Desktop\Нов лек ТЭС\Лекции ТЭС последние\ГЛАВА 2_files\image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Василий\Desktop\Нов лек ТЭС\Лекции ТЭС последние\ГЛАВА 2_files\image216.jpg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4A6E" w:rsidRDefault="00854A6E" w:rsidP="00854A6E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0" wp14:anchorId="6185669A" wp14:editId="55BE0872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42875" cy="238125"/>
            <wp:effectExtent l="0" t="0" r="0" b="0"/>
            <wp:wrapSquare wrapText="bothSides"/>
            <wp:docPr id="7" name="Picture 53" descr="Подпись: 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Подпись: . 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,</w:t>
      </w:r>
    </w:p>
    <w:p w:rsidR="00854A6E" w:rsidRDefault="00854A6E" w:rsidP="00854A6E">
      <w:pPr>
        <w:jc w:val="center"/>
      </w:pPr>
    </w:p>
    <w:p w:rsidR="00854A6E" w:rsidRDefault="00854A6E" w:rsidP="00854A6E">
      <w:pPr>
        <w:jc w:val="center"/>
      </w:pPr>
    </w:p>
    <w:p w:rsidR="00854A6E" w:rsidRDefault="00854A6E" w:rsidP="00854A6E">
      <w:pPr>
        <w:jc w:val="center"/>
      </w:pPr>
      <w:r>
        <w:t xml:space="preserve">Умножение  производится по обычному правилу </w:t>
      </w:r>
      <w:r>
        <w:lastRenderedPageBreak/>
        <w:t>умножения степенных функций, однако полученные коэффициенты при данной степени складываются по модулю 2.</w:t>
      </w:r>
    </w:p>
    <w:p w:rsidR="00854A6E" w:rsidRDefault="00854A6E" w:rsidP="00854A6E">
      <w:pPr>
        <w:jc w:val="center"/>
      </w:pPr>
      <w:r>
        <w:t xml:space="preserve">Например, </w:t>
      </w:r>
      <w:r>
        <w:rPr>
          <w:noProof/>
          <w:vertAlign w:val="subscript"/>
        </w:rPr>
        <w:drawing>
          <wp:inline distT="0" distB="0" distL="0" distR="0" wp14:anchorId="7656E9D5" wp14:editId="7F558A35">
            <wp:extent cx="4171950" cy="219075"/>
            <wp:effectExtent l="0" t="0" r="0" b="9525"/>
            <wp:docPr id="8" name="Picture 8" descr="C:\Users\Василий\Desktop\Нов лек ТЭС\Лекции ТЭС последние\ГЛАВА 2_files\image2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C:\Users\Василий\Desktop\Нов лек ТЭС\Лекции ТЭС последние\ГЛАВА 2_files\image218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Ind w:w="118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2940"/>
      </w:tblGrid>
      <w:tr w:rsidR="00854A6E" w:rsidTr="00697FD0">
        <w:trPr>
          <w:gridAfter w:val="1"/>
          <w:tblCellSpacing w:w="0" w:type="dxa"/>
        </w:trPr>
        <w:tc>
          <w:tcPr>
            <w:tcW w:w="705" w:type="dxa"/>
            <w:vAlign w:val="center"/>
            <w:hideMark/>
          </w:tcPr>
          <w:p w:rsidR="00854A6E" w:rsidRDefault="00854A6E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54A6E" w:rsidTr="00697FD0">
        <w:trPr>
          <w:tblCellSpacing w:w="0" w:type="dxa"/>
        </w:trPr>
        <w:tc>
          <w:tcPr>
            <w:tcW w:w="0" w:type="auto"/>
            <w:vAlign w:val="center"/>
            <w:hideMark/>
          </w:tcPr>
          <w:p w:rsidR="00854A6E" w:rsidRDefault="00854A6E" w:rsidP="00697FD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54A6E" w:rsidRDefault="00854A6E" w:rsidP="00697FD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51C3C78A" wp14:editId="5ECAD0B9">
                  <wp:extent cx="1857375" cy="1562100"/>
                  <wp:effectExtent l="0" t="0" r="9525" b="0"/>
                  <wp:docPr id="9" name="Picture 9" descr="C:\Users\Василий\Desktop\Нов лек ТЭС\Лекции ТЭС последние\ГЛАВА 2_files\image2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C:\Users\Василий\Desktop\Нов лек ТЭС\Лекции ТЭС последние\ГЛАВА 2_files\image2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54A6E" w:rsidRDefault="00854A6E" w:rsidP="00854A6E">
      <w:pPr>
        <w:jc w:val="center"/>
      </w:pPr>
      <w:r>
        <w:br w:type="textWrapping" w:clear="all"/>
        <w:t>Деление также осуществляется, как обычное деление многочленов; при этом операция вычитания заменяется операцией сложения по модулю 2*:</w:t>
      </w:r>
    </w:p>
    <w:p w:rsidR="00854A6E" w:rsidRDefault="00854A6E" w:rsidP="00854A6E">
      <w:pPr>
        <w:jc w:val="center"/>
      </w:pPr>
      <w:r>
        <w:t xml:space="preserve">Коды названы циклическими потому, что циклический сдвиг </w:t>
      </w:r>
      <w:r>
        <w:rPr>
          <w:i/>
          <w:iCs/>
        </w:rPr>
        <w:t>а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  <w:vertAlign w:val="subscript"/>
        </w:rPr>
        <w:t xml:space="preserve">-2,  </w:t>
      </w:r>
      <w:r>
        <w:rPr>
          <w:i/>
          <w:iCs/>
        </w:rPr>
        <w:t>а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  <w:vertAlign w:val="subscript"/>
        </w:rPr>
        <w:t xml:space="preserve">-3,…, </w:t>
      </w:r>
      <w:r>
        <w:rPr>
          <w:i/>
          <w:iCs/>
        </w:rPr>
        <w:t>а</w:t>
      </w:r>
      <w:r>
        <w:rPr>
          <w:i/>
          <w:iCs/>
          <w:vertAlign w:val="subscript"/>
        </w:rPr>
        <w:t xml:space="preserve">2, </w:t>
      </w:r>
      <w:r>
        <w:rPr>
          <w:i/>
          <w:iCs/>
        </w:rPr>
        <w:t>а</w:t>
      </w:r>
      <w:r>
        <w:rPr>
          <w:i/>
          <w:iCs/>
          <w:vertAlign w:val="subscript"/>
        </w:rPr>
        <w:t xml:space="preserve">1, </w:t>
      </w:r>
      <w:r>
        <w:rPr>
          <w:i/>
          <w:iCs/>
        </w:rPr>
        <w:t>а</w:t>
      </w:r>
      <w:r>
        <w:rPr>
          <w:i/>
          <w:iCs/>
          <w:vertAlign w:val="subscript"/>
        </w:rPr>
        <w:t xml:space="preserve">0, </w:t>
      </w:r>
      <w:r>
        <w:rPr>
          <w:i/>
          <w:iCs/>
        </w:rPr>
        <w:t>а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  <w:vertAlign w:val="subscript"/>
        </w:rPr>
        <w:t xml:space="preserve">-1 </w:t>
      </w:r>
      <w:r>
        <w:t xml:space="preserve">разрешенной  комбинации </w:t>
      </w:r>
      <w:r>
        <w:rPr>
          <w:i/>
          <w:iCs/>
        </w:rPr>
        <w:t>а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  <w:vertAlign w:val="subscript"/>
        </w:rPr>
        <w:t xml:space="preserve">-1,  </w:t>
      </w:r>
      <w:r>
        <w:rPr>
          <w:i/>
          <w:iCs/>
        </w:rPr>
        <w:t>а</w:t>
      </w:r>
      <w:r>
        <w:rPr>
          <w:i/>
          <w:iCs/>
          <w:vertAlign w:val="subscript"/>
          <w:lang w:val="en-US"/>
        </w:rPr>
        <w:t>n</w:t>
      </w:r>
      <w:r>
        <w:rPr>
          <w:i/>
          <w:iCs/>
          <w:vertAlign w:val="subscript"/>
        </w:rPr>
        <w:t xml:space="preserve">-2,…, </w:t>
      </w:r>
      <w:r>
        <w:rPr>
          <w:i/>
          <w:iCs/>
        </w:rPr>
        <w:t>а</w:t>
      </w:r>
      <w:r>
        <w:rPr>
          <w:i/>
          <w:iCs/>
          <w:vertAlign w:val="subscript"/>
        </w:rPr>
        <w:t xml:space="preserve">2, </w:t>
      </w:r>
      <w:r>
        <w:rPr>
          <w:i/>
          <w:iCs/>
        </w:rPr>
        <w:t>а</w:t>
      </w:r>
      <w:r>
        <w:rPr>
          <w:i/>
          <w:iCs/>
          <w:vertAlign w:val="subscript"/>
        </w:rPr>
        <w:t xml:space="preserve">1, </w:t>
      </w:r>
      <w:r>
        <w:rPr>
          <w:i/>
          <w:iCs/>
        </w:rPr>
        <w:t>а</w:t>
      </w:r>
      <w:r>
        <w:rPr>
          <w:i/>
          <w:iCs/>
          <w:vertAlign w:val="subscript"/>
        </w:rPr>
        <w:t>0</w:t>
      </w:r>
      <w:r>
        <w:t xml:space="preserve"> также является разрешенной комбинацией. Такая циклическая перестановка при использовании представления в виде полиномов появляется в результате умножения данного полинома на </w:t>
      </w:r>
      <w:r>
        <w:rPr>
          <w:i/>
          <w:iCs/>
        </w:rPr>
        <w:t xml:space="preserve">х. </w:t>
      </w:r>
      <w:r>
        <w:t xml:space="preserve">Если </w:t>
      </w:r>
      <w:r>
        <w:rPr>
          <w:noProof/>
          <w:vertAlign w:val="subscript"/>
        </w:rPr>
        <w:drawing>
          <wp:inline distT="0" distB="0" distL="0" distR="0" wp14:anchorId="25B63003" wp14:editId="595C9EA8">
            <wp:extent cx="2438400" cy="219075"/>
            <wp:effectExtent l="0" t="0" r="0" b="9525"/>
            <wp:docPr id="10" name="Picture 10" descr="C:\Users\Василий\Desktop\Нов лек ТЭС\Лекции ТЭС последние\ГЛАВА 2_files\image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C:\Users\Василий\Desktop\Нов лек ТЭС\Лекции ТЭС последние\ГЛАВА 2_files\image220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то </w:t>
      </w:r>
      <w:r>
        <w:rPr>
          <w:noProof/>
          <w:vertAlign w:val="subscript"/>
        </w:rPr>
        <w:drawing>
          <wp:inline distT="0" distB="0" distL="0" distR="0" wp14:anchorId="513F7C61" wp14:editId="0B937DEB">
            <wp:extent cx="2714625" cy="219075"/>
            <wp:effectExtent l="0" t="0" r="9525" b="9525"/>
            <wp:docPr id="11" name="Picture 11" descr="C:\Users\Василий\Desktop\Нов лек ТЭС\Лекции ТЭС последние\ГЛАВА 2_files\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C:\Users\Василий\Desktop\Нов лек ТЭС\Лекции ТЭС последние\ГЛАВА 2_files\image221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Чтобы  степень многочлена не превышала </w:t>
      </w:r>
      <w:r>
        <w:rPr>
          <w:i/>
          <w:iCs/>
          <w:lang w:val="en-US"/>
        </w:rPr>
        <w:t>n</w:t>
      </w:r>
      <w:r>
        <w:rPr>
          <w:i/>
          <w:iCs/>
        </w:rPr>
        <w:t>-1</w:t>
      </w:r>
      <w:r>
        <w:t xml:space="preserve">, член </w:t>
      </w:r>
      <w:r>
        <w:rPr>
          <w:noProof/>
          <w:vertAlign w:val="subscript"/>
        </w:rPr>
        <w:drawing>
          <wp:inline distT="0" distB="0" distL="0" distR="0" wp14:anchorId="34524A55" wp14:editId="53FA6DED">
            <wp:extent cx="438150" cy="276225"/>
            <wp:effectExtent l="0" t="0" r="0" b="9525"/>
            <wp:docPr id="12" name="Picture 12" descr="C:\Users\Василий\Desktop\Нов лек ТЭС\Лекции ТЭС последние\ГЛАВА 2_files\image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C:\Users\Василий\Desktop\Нов лек ТЭС\Лекции ТЭС последние\ГЛАВА 2_files\image222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заменяется единицей, поэтому</w:t>
      </w:r>
    </w:p>
    <w:p w:rsidR="00854A6E" w:rsidRDefault="00854A6E" w:rsidP="00854A6E">
      <w:pPr>
        <w:jc w:val="center"/>
      </w:pPr>
      <w:r>
        <w:rPr>
          <w:noProof/>
        </w:rPr>
        <w:drawing>
          <wp:anchor distT="0" distB="0" distL="114300" distR="114300" simplePos="0" relativeHeight="251664384" behindDoc="0" locked="0" layoutInCell="1" allowOverlap="0" wp14:anchorId="49580F23" wp14:editId="52499D16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62275" cy="238125"/>
            <wp:effectExtent l="0" t="0" r="9525" b="9525"/>
            <wp:wrapSquare wrapText="bothSides"/>
            <wp:docPr id="13" name="Picture 54" descr="C:\Users\Василий\Desktop\Нов лек ТЭС\Лекции ТЭС последние\ГЛАВА 2_files\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Василий\Desktop\Нов лек ТЭС\Лекции ТЭС последние\ГЛАВА 2_files\image223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Например, имеем кодовую комбинацию </w:t>
      </w:r>
      <w:r>
        <w:rPr>
          <w:noProof/>
          <w:vertAlign w:val="subscript"/>
        </w:rPr>
        <w:drawing>
          <wp:inline distT="0" distB="0" distL="0" distR="0" wp14:anchorId="6D1C39FE" wp14:editId="6EE9BFC7">
            <wp:extent cx="1752600" cy="161925"/>
            <wp:effectExtent l="0" t="0" r="0" b="9525"/>
            <wp:docPr id="14" name="Picture 14" descr="C:\Users\Василий\Desktop\Нов лек ТЭС\Лекции ТЭС последние\ГЛАВА 2_files\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C:\Users\Василий\Desktop\Нов лек ТЭС\Лекции ТЭС последние\ГЛАВА 2_files\image224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Сдвинем ее на один разряд. Получим</w:t>
      </w:r>
    </w:p>
    <w:p w:rsidR="00854A6E" w:rsidRDefault="00854A6E" w:rsidP="00854A6E">
      <w:pPr>
        <w:jc w:val="center"/>
      </w:pPr>
      <w:r>
        <w:rPr>
          <w:noProof/>
          <w:vertAlign w:val="subscript"/>
        </w:rPr>
        <w:drawing>
          <wp:inline distT="0" distB="0" distL="0" distR="0" wp14:anchorId="186F34E6" wp14:editId="7D4D1BEA">
            <wp:extent cx="904875" cy="161925"/>
            <wp:effectExtent l="0" t="0" r="0" b="0"/>
            <wp:docPr id="15" name="Picture 15" descr="C:\Users\Василий\Desktop\Нов лек ТЭС\Лекции ТЭС последние\ГЛАВА 2_files\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C:\Users\Василий\Desktop\Нов лек ТЭС\Лекции ТЭС последние\ГЛАВА 2_files\image225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0" wp14:anchorId="1234E156" wp14:editId="11B5678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66900" cy="200025"/>
            <wp:effectExtent l="0" t="0" r="0" b="9525"/>
            <wp:wrapSquare wrapText="bothSides"/>
            <wp:docPr id="16" name="Picture 55" descr="C:\Users\Василий\Desktop\Нов лек ТЭС\Лекции ТЭС последние\ГЛАВА 2_files\image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Василий\Desktop\Нов лек ТЭС\Лекции ТЭС последние\ГЛАВА 2_files\image226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0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4A6E" w:rsidRDefault="00854A6E" w:rsidP="00854A6E">
      <w:pPr>
        <w:jc w:val="center"/>
      </w:pPr>
      <w:r>
        <w:t>Очевидно, что</w:t>
      </w:r>
    </w:p>
    <w:p w:rsidR="00854A6E" w:rsidRDefault="00854A6E" w:rsidP="00854A6E">
      <w:pPr>
        <w:jc w:val="center"/>
      </w:pPr>
      <w:r>
        <w:rPr>
          <w:noProof/>
        </w:rPr>
        <w:drawing>
          <wp:anchor distT="0" distB="0" distL="114300" distR="114300" simplePos="0" relativeHeight="251666432" behindDoc="0" locked="0" layoutInCell="1" allowOverlap="0" wp14:anchorId="7750695F" wp14:editId="62E7537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66975" cy="228600"/>
            <wp:effectExtent l="0" t="0" r="9525" b="0"/>
            <wp:wrapSquare wrapText="bothSides"/>
            <wp:docPr id="17" name="Picture 56" descr="C:\Users\Василий\Desktop\Нов лек ТЭС\Лекции ТЭС последние\ГЛАВА 2_files\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Василий\Desktop\Нов лек ТЭС\Лекции ТЭС последние\ГЛАВА 2_files\image227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4A6E" w:rsidRDefault="00854A6E" w:rsidP="00854A6E">
      <w:pPr>
        <w:jc w:val="center"/>
      </w:pPr>
      <w:r>
        <w:t xml:space="preserve">Теория построения циклических кодов базируется на разделах высшей алгебры, изучающей свойства двоичных многочленов. Особую роль в этой теории играют так называемые </w:t>
      </w:r>
      <w:r>
        <w:rPr>
          <w:i/>
          <w:iCs/>
        </w:rPr>
        <w:t>неприводимые</w:t>
      </w:r>
      <w:r>
        <w:t xml:space="preserve"> многочлены, т.е. полиномы, которые не могут быть представлены в виде произведения многочленов низших степеней. Такой многочлен делится только на самого себя и на единицу. Из высшей ал</w:t>
      </w:r>
      <w:r>
        <w:softHyphen/>
        <w:t>гебры известно, что на неприводимый многочлен делится без ос</w:t>
      </w:r>
      <w:r>
        <w:softHyphen/>
        <w:t xml:space="preserve">татка двучлен </w:t>
      </w:r>
      <w:r>
        <w:rPr>
          <w:i/>
          <w:iCs/>
        </w:rPr>
        <w:t>х</w:t>
      </w:r>
      <w:r>
        <w:rPr>
          <w:i/>
          <w:iCs/>
          <w:vertAlign w:val="superscript"/>
        </w:rPr>
        <w:t>п</w:t>
      </w:r>
      <w:r>
        <w:rPr>
          <w:i/>
          <w:iCs/>
        </w:rPr>
        <w:t xml:space="preserve">+1. </w:t>
      </w:r>
      <w:r>
        <w:t>В теории кодирования неприводимые много</w:t>
      </w:r>
      <w:r>
        <w:softHyphen/>
        <w:t xml:space="preserve">члены называются </w:t>
      </w:r>
      <w:r>
        <w:rPr>
          <w:i/>
          <w:iCs/>
        </w:rPr>
        <w:t xml:space="preserve">образующими полиномами, </w:t>
      </w:r>
      <w:r>
        <w:t>поскольку они «об</w:t>
      </w:r>
      <w:r>
        <w:softHyphen/>
        <w:t>разуют» разрешенные кодовые комбинации.</w:t>
      </w:r>
    </w:p>
    <w:p w:rsidR="00854A6E" w:rsidRDefault="00854A6E" w:rsidP="00854A6E">
      <w:pPr>
        <w:jc w:val="center"/>
      </w:pPr>
      <w:r>
        <w:t>Идея построения циклического кода сводится к тому, что по</w:t>
      </w:r>
      <w:r>
        <w:softHyphen/>
        <w:t>лином, представляющий информационную часть кодовой комбина</w:t>
      </w:r>
      <w:r>
        <w:softHyphen/>
        <w:t xml:space="preserve">ции, нужно преобразовать в полином степени не более </w:t>
      </w:r>
      <w:r>
        <w:rPr>
          <w:i/>
          <w:iCs/>
        </w:rPr>
        <w:t>п</w:t>
      </w:r>
      <w:r>
        <w:t>—1, кото</w:t>
      </w:r>
      <w:r>
        <w:softHyphen/>
        <w:t xml:space="preserve">рый без остатка делится на образующий полином </w:t>
      </w:r>
      <w:r>
        <w:rPr>
          <w:i/>
          <w:iCs/>
        </w:rPr>
        <w:t xml:space="preserve">Р(х). </w:t>
      </w:r>
      <w:r>
        <w:t>Сущест</w:t>
      </w:r>
      <w:r>
        <w:softHyphen/>
        <w:t>венно при этом, что степень последнего соответствует числу раз</w:t>
      </w:r>
      <w:r>
        <w:softHyphen/>
        <w:t>рядов проверочной части кодовой комбинации. В циклических ко</w:t>
      </w:r>
      <w:r>
        <w:softHyphen/>
        <w:t>дах проверочная часть получается сразу, т. е. используется алго</w:t>
      </w:r>
      <w:r>
        <w:softHyphen/>
        <w:t xml:space="preserve">ритм </w:t>
      </w:r>
      <w:r>
        <w:rPr>
          <w:noProof/>
          <w:vertAlign w:val="subscript"/>
        </w:rPr>
        <w:drawing>
          <wp:inline distT="0" distB="0" distL="0" distR="0" wp14:anchorId="5F7A53CC" wp14:editId="72EDA933">
            <wp:extent cx="771525" cy="219075"/>
            <wp:effectExtent l="0" t="0" r="9525" b="9525"/>
            <wp:docPr id="18" name="Picture 18" descr="C:\Users\Василий\Desktop\Нов лек ТЭС\Лекции ТЭС последние\ГЛАВА 2_files\image2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C:\Users\Василий\Desktop\Нов лек ТЭС\Лекции ТЭС последние\ГЛАВА 2_files\image228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  <w:r>
        <w:rPr>
          <w:i/>
          <w:iCs/>
        </w:rPr>
        <w:t xml:space="preserve"> </w:t>
      </w:r>
      <w:r>
        <w:t>Тогда все разрешенные комбинации цикличе</w:t>
      </w:r>
      <w:r>
        <w:softHyphen/>
        <w:t>ского кода, представленные в виде полиномов, будут обладать од</w:t>
      </w:r>
      <w:r>
        <w:softHyphen/>
        <w:t xml:space="preserve">ним признаком: делимостью без остатка на образующий полином </w:t>
      </w:r>
      <w:r>
        <w:rPr>
          <w:i/>
          <w:iCs/>
        </w:rPr>
        <w:t xml:space="preserve">Р(х). </w:t>
      </w:r>
      <w:r>
        <w:t>Построение разрешенной кодовой комбинации сводится к следующему:</w:t>
      </w:r>
    </w:p>
    <w:p w:rsidR="00854A6E" w:rsidRDefault="00854A6E" w:rsidP="00854A6E">
      <w:pPr>
        <w:jc w:val="center"/>
      </w:pPr>
      <w:r>
        <w:rPr>
          <w:spacing w:val="-25"/>
        </w:rPr>
        <w:t xml:space="preserve">1) </w:t>
      </w:r>
      <w:r>
        <w:t xml:space="preserve">Представляем информационную часть кодовой комбинации длиной </w:t>
      </w:r>
      <w:r>
        <w:rPr>
          <w:i/>
          <w:iCs/>
          <w:lang w:val="en-US"/>
        </w:rPr>
        <w:t>k</w:t>
      </w:r>
      <w:r w:rsidRPr="00DF3D91">
        <w:rPr>
          <w:i/>
          <w:iCs/>
        </w:rPr>
        <w:t xml:space="preserve"> </w:t>
      </w:r>
      <w:r>
        <w:t xml:space="preserve">в виде полинома </w:t>
      </w:r>
      <w:r>
        <w:rPr>
          <w:i/>
          <w:iCs/>
          <w:lang w:val="en-US"/>
        </w:rPr>
        <w:t>Q</w:t>
      </w:r>
      <w:r>
        <w:rPr>
          <w:i/>
          <w:iCs/>
        </w:rPr>
        <w:t>(х).</w:t>
      </w:r>
    </w:p>
    <w:p w:rsidR="00854A6E" w:rsidRDefault="00854A6E" w:rsidP="00854A6E">
      <w:pPr>
        <w:jc w:val="center"/>
      </w:pPr>
      <w:r>
        <w:rPr>
          <w:spacing w:val="-10"/>
        </w:rPr>
        <w:t xml:space="preserve">2)      </w:t>
      </w:r>
      <w:r>
        <w:t xml:space="preserve">Умножаем </w:t>
      </w:r>
      <w:r>
        <w:rPr>
          <w:i/>
          <w:iCs/>
          <w:lang w:val="en-US"/>
        </w:rPr>
        <w:t>Q</w:t>
      </w:r>
      <w:r>
        <w:rPr>
          <w:i/>
          <w:iCs/>
        </w:rPr>
        <w:t xml:space="preserve">(х) </w:t>
      </w:r>
      <w:r>
        <w:t xml:space="preserve">на одночлен </w:t>
      </w:r>
      <w:r>
        <w:rPr>
          <w:i/>
          <w:iCs/>
        </w:rPr>
        <w:t>х</w:t>
      </w:r>
      <w:r>
        <w:rPr>
          <w:i/>
          <w:iCs/>
          <w:vertAlign w:val="superscript"/>
          <w:lang w:val="en-US"/>
        </w:rPr>
        <w:t>r</w:t>
      </w:r>
      <w:r w:rsidRPr="00DF3D91">
        <w:rPr>
          <w:i/>
          <w:iCs/>
        </w:rPr>
        <w:t xml:space="preserve"> </w:t>
      </w:r>
      <w:r>
        <w:t xml:space="preserve">и получаем </w:t>
      </w:r>
      <w:r>
        <w:rPr>
          <w:i/>
          <w:iCs/>
          <w:lang w:val="en-US"/>
        </w:rPr>
        <w:t>Q</w:t>
      </w:r>
      <w:r>
        <w:rPr>
          <w:i/>
          <w:iCs/>
        </w:rPr>
        <w:t>(х)х</w:t>
      </w:r>
      <w:r>
        <w:rPr>
          <w:i/>
          <w:iCs/>
          <w:vertAlign w:val="superscript"/>
          <w:lang w:val="en-US"/>
        </w:rPr>
        <w:t>r</w:t>
      </w:r>
      <w:r>
        <w:rPr>
          <w:i/>
          <w:iCs/>
        </w:rPr>
        <w:t xml:space="preserve">, </w:t>
      </w:r>
      <w:r>
        <w:t>т. е. про</w:t>
      </w:r>
      <w:r>
        <w:softHyphen/>
        <w:t xml:space="preserve">изводим сдвиг </w:t>
      </w:r>
      <w:r>
        <w:rPr>
          <w:i/>
          <w:iCs/>
          <w:lang w:val="en-US"/>
        </w:rPr>
        <w:t>k</w:t>
      </w:r>
      <w:r>
        <w:t>-разрядной кодовой комбинации на г разрядов.</w:t>
      </w:r>
    </w:p>
    <w:p w:rsidR="00854A6E" w:rsidRDefault="00854A6E" w:rsidP="00854A6E">
      <w:pPr>
        <w:jc w:val="center"/>
      </w:pPr>
      <w:r>
        <w:rPr>
          <w:spacing w:val="-11"/>
        </w:rPr>
        <w:t xml:space="preserve">3)      </w:t>
      </w:r>
      <w:r>
        <w:t xml:space="preserve">Делим многочлен </w:t>
      </w:r>
      <w:r>
        <w:rPr>
          <w:i/>
          <w:iCs/>
          <w:lang w:val="en-US"/>
        </w:rPr>
        <w:t>Q</w:t>
      </w:r>
      <w:r>
        <w:rPr>
          <w:i/>
          <w:iCs/>
        </w:rPr>
        <w:t>(х)х</w:t>
      </w:r>
      <w:r>
        <w:rPr>
          <w:i/>
          <w:iCs/>
          <w:vertAlign w:val="superscript"/>
          <w:lang w:val="en-US"/>
        </w:rPr>
        <w:t>r</w:t>
      </w:r>
      <w:r w:rsidRPr="00DF3D91">
        <w:rPr>
          <w:i/>
          <w:iCs/>
        </w:rPr>
        <w:t xml:space="preserve"> </w:t>
      </w:r>
      <w:r>
        <w:t xml:space="preserve">на образующий полином </w:t>
      </w:r>
      <w:r>
        <w:rPr>
          <w:i/>
          <w:iCs/>
        </w:rPr>
        <w:t xml:space="preserve">Р(х), </w:t>
      </w:r>
      <w:r>
        <w:t>сте</w:t>
      </w:r>
      <w:r>
        <w:softHyphen/>
        <w:t xml:space="preserve">пень которого равна </w:t>
      </w:r>
      <w:r>
        <w:rPr>
          <w:i/>
          <w:iCs/>
          <w:lang w:val="en-US"/>
        </w:rPr>
        <w:t>r</w:t>
      </w:r>
      <w:r>
        <w:rPr>
          <w:i/>
          <w:iCs/>
        </w:rPr>
        <w:t>.</w:t>
      </w:r>
    </w:p>
    <w:p w:rsidR="00854A6E" w:rsidRDefault="00854A6E" w:rsidP="00854A6E">
      <w:pPr>
        <w:jc w:val="center"/>
      </w:pPr>
      <w:r>
        <w:t xml:space="preserve">В результате умножения </w:t>
      </w:r>
      <w:r>
        <w:rPr>
          <w:i/>
          <w:iCs/>
          <w:lang w:val="en-US"/>
        </w:rPr>
        <w:t>Q</w:t>
      </w:r>
      <w:r>
        <w:rPr>
          <w:i/>
          <w:iCs/>
        </w:rPr>
        <w:t xml:space="preserve">(х) </w:t>
      </w:r>
      <w:r>
        <w:t xml:space="preserve">на </w:t>
      </w:r>
      <w:r>
        <w:rPr>
          <w:i/>
          <w:iCs/>
        </w:rPr>
        <w:t>х</w:t>
      </w:r>
      <w:r>
        <w:rPr>
          <w:i/>
          <w:iCs/>
          <w:vertAlign w:val="superscript"/>
          <w:lang w:val="en-US"/>
        </w:rPr>
        <w:t>r</w:t>
      </w:r>
      <w:r w:rsidRPr="00DF3D91">
        <w:rPr>
          <w:i/>
          <w:iCs/>
        </w:rPr>
        <w:t xml:space="preserve"> </w:t>
      </w:r>
      <w:r>
        <w:t>степень каждого одночле</w:t>
      </w:r>
      <w:r>
        <w:softHyphen/>
        <w:t xml:space="preserve">на, входящего в </w:t>
      </w:r>
      <w:r>
        <w:rPr>
          <w:i/>
          <w:iCs/>
          <w:lang w:val="en-US"/>
        </w:rPr>
        <w:t>Q</w:t>
      </w:r>
      <w:r>
        <w:rPr>
          <w:i/>
          <w:iCs/>
        </w:rPr>
        <w:t xml:space="preserve">(х), </w:t>
      </w:r>
      <w:r>
        <w:t xml:space="preserve">повышается на </w:t>
      </w:r>
      <w:r>
        <w:rPr>
          <w:i/>
          <w:iCs/>
          <w:lang w:val="en-US"/>
        </w:rPr>
        <w:t>r</w:t>
      </w:r>
      <w:r>
        <w:rPr>
          <w:i/>
          <w:iCs/>
        </w:rPr>
        <w:t xml:space="preserve">. </w:t>
      </w:r>
      <w:r>
        <w:t>При делении произведе</w:t>
      </w:r>
      <w:r>
        <w:softHyphen/>
        <w:t xml:space="preserve">ния </w:t>
      </w:r>
      <w:r>
        <w:rPr>
          <w:i/>
          <w:iCs/>
        </w:rPr>
        <w:t>х</w:t>
      </w:r>
      <w:proofErr w:type="spellStart"/>
      <w:r>
        <w:rPr>
          <w:i/>
          <w:iCs/>
          <w:vertAlign w:val="superscript"/>
          <w:lang w:val="en-US"/>
        </w:rPr>
        <w:t>r</w:t>
      </w:r>
      <w:r>
        <w:rPr>
          <w:i/>
          <w:iCs/>
          <w:lang w:val="en-US"/>
        </w:rPr>
        <w:t>Q</w:t>
      </w:r>
      <w:proofErr w:type="spellEnd"/>
      <w:r>
        <w:rPr>
          <w:i/>
          <w:iCs/>
        </w:rPr>
        <w:t xml:space="preserve">(х) </w:t>
      </w:r>
      <w:r>
        <w:t xml:space="preserve">на образующий полином степени </w:t>
      </w:r>
      <w:r>
        <w:rPr>
          <w:i/>
          <w:iCs/>
          <w:lang w:val="en-US"/>
        </w:rPr>
        <w:t>r</w:t>
      </w:r>
      <w:r>
        <w:t xml:space="preserve"> получается частное </w:t>
      </w:r>
      <w:r>
        <w:rPr>
          <w:i/>
          <w:iCs/>
        </w:rPr>
        <w:t xml:space="preserve">С(х) </w:t>
      </w:r>
      <w:r>
        <w:t xml:space="preserve">такой же степени, что и </w:t>
      </w:r>
      <w:r>
        <w:rPr>
          <w:i/>
          <w:iCs/>
          <w:lang w:val="en-US"/>
        </w:rPr>
        <w:t>Q</w:t>
      </w:r>
      <w:r>
        <w:rPr>
          <w:i/>
          <w:iCs/>
        </w:rPr>
        <w:t>(х).</w:t>
      </w:r>
      <w:r>
        <w:t xml:space="preserve"> Результаты этих операций можно представить в виде</w:t>
      </w:r>
    </w:p>
    <w:p w:rsidR="00854A6E" w:rsidRDefault="00854A6E" w:rsidP="00854A6E">
      <w:pPr>
        <w:jc w:val="center"/>
      </w:pPr>
      <w:r>
        <w:rPr>
          <w:noProof/>
        </w:rPr>
        <w:drawing>
          <wp:anchor distT="0" distB="0" distL="114300" distR="114300" simplePos="0" relativeHeight="251667456" behindDoc="0" locked="0" layoutInCell="1" allowOverlap="0" wp14:anchorId="2280FF8B" wp14:editId="49D82E4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43025" cy="409575"/>
            <wp:effectExtent l="0" t="0" r="9525" b="9525"/>
            <wp:wrapSquare wrapText="bothSides"/>
            <wp:docPr id="19" name="Picture 57" descr="C:\Users\Василий\Desktop\Нов лек ТЭС\Лекции ТЭС последние\ГЛАВА 2_files\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Василий\Desktop\Нов лек ТЭС\Лекции ТЭС последние\ГЛАВА 2_files\image229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4A6E" w:rsidRDefault="00854A6E" w:rsidP="00854A6E">
      <w:pPr>
        <w:jc w:val="center"/>
      </w:pPr>
      <w:r>
        <w:t xml:space="preserve">где </w:t>
      </w:r>
      <w:r>
        <w:rPr>
          <w:i/>
          <w:iCs/>
          <w:lang w:val="en-US"/>
        </w:rPr>
        <w:t>R</w:t>
      </w:r>
      <w:r>
        <w:rPr>
          <w:i/>
          <w:iCs/>
        </w:rPr>
        <w:t xml:space="preserve">(х) </w:t>
      </w:r>
      <w:r>
        <w:t xml:space="preserve">— остаток от деления </w:t>
      </w:r>
      <w:r>
        <w:rPr>
          <w:i/>
          <w:iCs/>
          <w:lang w:val="en-US"/>
        </w:rPr>
        <w:t>Q</w:t>
      </w:r>
      <w:r>
        <w:rPr>
          <w:i/>
          <w:iCs/>
        </w:rPr>
        <w:t>(х)х</w:t>
      </w:r>
      <w:r>
        <w:rPr>
          <w:i/>
          <w:iCs/>
          <w:vertAlign w:val="superscript"/>
          <w:lang w:val="en-US"/>
        </w:rPr>
        <w:t>r</w:t>
      </w:r>
      <w:r w:rsidRPr="00DF3D91">
        <w:rPr>
          <w:i/>
          <w:iCs/>
        </w:rPr>
        <w:t xml:space="preserve"> </w:t>
      </w:r>
      <w:r>
        <w:t xml:space="preserve">на </w:t>
      </w:r>
      <w:r>
        <w:rPr>
          <w:i/>
          <w:iCs/>
        </w:rPr>
        <w:t xml:space="preserve">Р(х). </w:t>
      </w:r>
      <w:r>
        <w:t xml:space="preserve">Поскольку </w:t>
      </w:r>
      <w:r>
        <w:rPr>
          <w:i/>
          <w:iCs/>
        </w:rPr>
        <w:t xml:space="preserve">С(х) </w:t>
      </w:r>
      <w:r>
        <w:t xml:space="preserve">имеет такую же степень, что и </w:t>
      </w:r>
      <w:r>
        <w:rPr>
          <w:i/>
          <w:iCs/>
          <w:lang w:val="en-US"/>
        </w:rPr>
        <w:t>Q</w:t>
      </w:r>
      <w:r>
        <w:rPr>
          <w:i/>
          <w:iCs/>
        </w:rPr>
        <w:t xml:space="preserve">(х), </w:t>
      </w:r>
      <w:r>
        <w:t xml:space="preserve">то </w:t>
      </w:r>
      <w:r>
        <w:rPr>
          <w:i/>
          <w:iCs/>
        </w:rPr>
        <w:t xml:space="preserve">С(х) </w:t>
      </w:r>
      <w:r>
        <w:t xml:space="preserve">представляет собой кодовую комбинацию того же </w:t>
      </w:r>
      <w:r>
        <w:rPr>
          <w:i/>
          <w:iCs/>
          <w:lang w:val="en-US"/>
        </w:rPr>
        <w:t>k</w:t>
      </w:r>
      <w:r>
        <w:t xml:space="preserve">-разрядного кода. Степень остатка не может быть, очевидно, больше степени образующего полинома, т. е. его наивысшая степень равна </w:t>
      </w:r>
      <w:r>
        <w:rPr>
          <w:i/>
          <w:iCs/>
          <w:lang w:val="en-US"/>
        </w:rPr>
        <w:t>r</w:t>
      </w:r>
      <w:r>
        <w:rPr>
          <w:i/>
          <w:iCs/>
        </w:rPr>
        <w:t>—1</w:t>
      </w:r>
      <w:r>
        <w:t>. Следовательно, наиболь</w:t>
      </w:r>
      <w:r>
        <w:softHyphen/>
        <w:t xml:space="preserve">шее число разрядов остатка не превышает </w:t>
      </w:r>
      <w:r>
        <w:rPr>
          <w:i/>
          <w:iCs/>
          <w:lang w:val="en-US"/>
        </w:rPr>
        <w:t>r</w:t>
      </w:r>
      <w:r>
        <w:rPr>
          <w:i/>
          <w:iCs/>
        </w:rPr>
        <w:t xml:space="preserve">. </w:t>
      </w:r>
      <w:r>
        <w:t xml:space="preserve">Умножив обе части (6.18) на </w:t>
      </w:r>
      <w:r>
        <w:rPr>
          <w:i/>
          <w:iCs/>
        </w:rPr>
        <w:t xml:space="preserve">Р(х), </w:t>
      </w:r>
      <w:r>
        <w:t>получим</w:t>
      </w:r>
    </w:p>
    <w:p w:rsidR="00854A6E" w:rsidRDefault="00854A6E" w:rsidP="00854A6E">
      <w:pPr>
        <w:jc w:val="center"/>
      </w:pPr>
      <w:proofErr w:type="gramStart"/>
      <w:r>
        <w:rPr>
          <w:i/>
          <w:iCs/>
          <w:lang w:val="en-US"/>
        </w:rPr>
        <w:t>F</w:t>
      </w:r>
      <w:r>
        <w:rPr>
          <w:i/>
          <w:iCs/>
        </w:rPr>
        <w:t>(</w:t>
      </w:r>
      <w:proofErr w:type="gramEnd"/>
      <w:r>
        <w:rPr>
          <w:i/>
          <w:iCs/>
        </w:rPr>
        <w:t xml:space="preserve">х) = С(х)Р(х) = </w:t>
      </w:r>
      <w:r>
        <w:rPr>
          <w:i/>
          <w:iCs/>
          <w:lang w:val="en-US"/>
        </w:rPr>
        <w:t>Q</w:t>
      </w:r>
      <w:r>
        <w:rPr>
          <w:i/>
          <w:iCs/>
        </w:rPr>
        <w:t xml:space="preserve"> (х)х</w:t>
      </w:r>
      <w:r>
        <w:rPr>
          <w:i/>
          <w:iCs/>
          <w:vertAlign w:val="superscript"/>
          <w:lang w:val="en-US"/>
        </w:rPr>
        <w:t>r</w:t>
      </w:r>
      <w:r>
        <w:rPr>
          <w:i/>
          <w:iCs/>
        </w:rPr>
        <w:t>+</w:t>
      </w:r>
      <w:r>
        <w:rPr>
          <w:i/>
          <w:iCs/>
          <w:lang w:val="en-US"/>
        </w:rPr>
        <w:t>R</w:t>
      </w:r>
      <w:r>
        <w:rPr>
          <w:i/>
          <w:iCs/>
        </w:rPr>
        <w:t xml:space="preserve">(х)                       </w:t>
      </w:r>
      <w:r>
        <w:rPr>
          <w:spacing w:val="-3"/>
        </w:rPr>
        <w:t>(11.2)</w:t>
      </w:r>
    </w:p>
    <w:p w:rsidR="00854A6E" w:rsidRDefault="00854A6E" w:rsidP="00854A6E">
      <w:pPr>
        <w:jc w:val="center"/>
      </w:pPr>
      <w:r>
        <w:t>(знак вычитания заменяется знаком сложения по модулю 2). Оче</w:t>
      </w:r>
      <w:r>
        <w:softHyphen/>
        <w:t xml:space="preserve">видно, что </w:t>
      </w:r>
      <w:r>
        <w:rPr>
          <w:i/>
          <w:iCs/>
          <w:lang w:val="en-US"/>
        </w:rPr>
        <w:t>F</w:t>
      </w:r>
      <w:r>
        <w:rPr>
          <w:i/>
          <w:iCs/>
        </w:rPr>
        <w:t xml:space="preserve">(х) </w:t>
      </w:r>
      <w:r>
        <w:t xml:space="preserve">делится на </w:t>
      </w:r>
      <w:r>
        <w:rPr>
          <w:i/>
          <w:iCs/>
        </w:rPr>
        <w:t xml:space="preserve">Р(х) </w:t>
      </w:r>
      <w:r>
        <w:t xml:space="preserve">без остатка. Полином </w:t>
      </w:r>
      <w:r>
        <w:rPr>
          <w:i/>
          <w:iCs/>
          <w:lang w:val="en-US"/>
        </w:rPr>
        <w:t>F</w:t>
      </w:r>
      <w:r>
        <w:rPr>
          <w:i/>
          <w:iCs/>
        </w:rPr>
        <w:t xml:space="preserve">(х) </w:t>
      </w:r>
      <w:r>
        <w:t>пред</w:t>
      </w:r>
      <w:r>
        <w:softHyphen/>
        <w:t>ставляет собой разрешенную кодовую комбинацию циклического кода. Из (11.2) следует, что разрешенную кодовую комбинацию цик</w:t>
      </w:r>
      <w:r>
        <w:softHyphen/>
        <w:t xml:space="preserve">лического кода можно получить умножением кодовой комбинации </w:t>
      </w:r>
      <w:r>
        <w:rPr>
          <w:i/>
          <w:iCs/>
          <w:lang w:val="en-US"/>
        </w:rPr>
        <w:t>Q</w:t>
      </w:r>
      <w:r>
        <w:rPr>
          <w:i/>
          <w:iCs/>
        </w:rPr>
        <w:t xml:space="preserve">(х) </w:t>
      </w:r>
      <w:r>
        <w:t xml:space="preserve">простого кода на одночлен </w:t>
      </w:r>
      <w:r>
        <w:rPr>
          <w:i/>
          <w:iCs/>
        </w:rPr>
        <w:t>х</w:t>
      </w:r>
      <w:r>
        <w:rPr>
          <w:i/>
          <w:iCs/>
          <w:vertAlign w:val="superscript"/>
          <w:lang w:val="en-US"/>
        </w:rPr>
        <w:t>r</w:t>
      </w:r>
      <w:r w:rsidRPr="00DF3D91">
        <w:rPr>
          <w:i/>
          <w:iCs/>
        </w:rPr>
        <w:t xml:space="preserve"> </w:t>
      </w:r>
      <w:r>
        <w:t xml:space="preserve">и добавлением к этому произведению остатка </w:t>
      </w:r>
      <w:r>
        <w:rPr>
          <w:i/>
          <w:iCs/>
          <w:lang w:val="en-US"/>
        </w:rPr>
        <w:t>R</w:t>
      </w:r>
      <w:r>
        <w:rPr>
          <w:i/>
          <w:iCs/>
        </w:rPr>
        <w:t xml:space="preserve">(х), </w:t>
      </w:r>
      <w:r>
        <w:t xml:space="preserve">полученного в результате деления произведения на образующий полином </w:t>
      </w:r>
      <w:r>
        <w:rPr>
          <w:i/>
          <w:iCs/>
        </w:rPr>
        <w:t>Р(х).</w:t>
      </w:r>
    </w:p>
    <w:p w:rsidR="00854A6E" w:rsidRDefault="00854A6E" w:rsidP="00854A6E">
      <w:pPr>
        <w:jc w:val="center"/>
      </w:pPr>
      <w:r>
        <w:rPr>
          <w:i/>
          <w:iCs/>
        </w:rPr>
        <w:t>Обнаружение ошибок при циклическом кодировании</w:t>
      </w:r>
      <w:r>
        <w:t xml:space="preserve"> сводится к делению принятой кодовой комбинации на тот же образующий полином, который использовался при кодировании (вид его, разу</w:t>
      </w:r>
      <w:r>
        <w:softHyphen/>
        <w:t>меется, должен быть известен на приеме). Если ошибок в приня</w:t>
      </w:r>
      <w:r>
        <w:softHyphen/>
        <w:t>той кодовой комбинации нет (или они такие, что данную переда</w:t>
      </w:r>
      <w:r>
        <w:softHyphen/>
        <w:t>ваемую кодовую комбинацию превращают в другую разрешен</w:t>
      </w:r>
      <w:r>
        <w:softHyphen/>
        <w:t>ную), то деление на образующий полином произведется без ос</w:t>
      </w:r>
      <w:r>
        <w:softHyphen/>
        <w:t>татка. Если при делении получится остаток, то это и свидетельст</w:t>
      </w:r>
      <w:r>
        <w:softHyphen/>
        <w:t xml:space="preserve">вует о наличии ошибки. Остаток от деления в циклических кодах играет роль синдрома. Остаток от деления — синдром циклического кода, не равный нулю, — свидетельствует о </w:t>
      </w:r>
      <w:r>
        <w:rPr>
          <w:i/>
          <w:iCs/>
        </w:rPr>
        <w:t>наличии ошибки.</w:t>
      </w:r>
      <w:r>
        <w:t xml:space="preserve"> В кодах с образую</w:t>
      </w:r>
      <w:r>
        <w:softHyphen/>
        <w:t xml:space="preserve">щим полиномом степени г остаток представляется в виде полинома, степень которого меньше </w:t>
      </w:r>
      <w:r>
        <w:rPr>
          <w:lang w:val="en-US"/>
        </w:rPr>
        <w:t>r</w:t>
      </w:r>
      <w:r>
        <w:t>. Это означает, что количество раз</w:t>
      </w:r>
      <w:r>
        <w:softHyphen/>
        <w:t xml:space="preserve">личных ненулевых остатков может быть равным </w:t>
      </w:r>
      <w:r>
        <w:rPr>
          <w:noProof/>
          <w:vertAlign w:val="subscript"/>
        </w:rPr>
        <w:drawing>
          <wp:inline distT="0" distB="0" distL="0" distR="0" wp14:anchorId="0573DE71" wp14:editId="49295291">
            <wp:extent cx="333375" cy="133350"/>
            <wp:effectExtent l="0" t="0" r="9525" b="0"/>
            <wp:docPr id="20" name="Picture 20" descr="C:\Users\Василий\Desktop\Нов лек ТЭС\Лекции ТЭС последние\ГЛАВА 2_files\image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C:\Users\Василий\Desktop\Нов лек ТЭС\Лекции ТЭС последние\ГЛАВА 2_files\image230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Номер разряда, в котором произошла ошибка, однозначно связан с видом получаю</w:t>
      </w:r>
      <w:r>
        <w:softHyphen/>
        <w:t>щегося при этом ненулевого остатка. Это позволяет по виду синд</w:t>
      </w:r>
      <w:r>
        <w:softHyphen/>
        <w:t xml:space="preserve">рома (остатка) определить место ошибки. Таким образом, для </w:t>
      </w:r>
      <w:r>
        <w:rPr>
          <w:i/>
          <w:iCs/>
        </w:rPr>
        <w:t>исправления ошибок</w:t>
      </w:r>
      <w:r>
        <w:t xml:space="preserve"> необходимо обеспе</w:t>
      </w:r>
      <w:r>
        <w:softHyphen/>
        <w:t>чить условие, при котором количество различных ненулевых ос</w:t>
      </w:r>
      <w:r>
        <w:softHyphen/>
        <w:t xml:space="preserve">татков будет равно количеству элементов </w:t>
      </w:r>
      <w:r>
        <w:rPr>
          <w:i/>
          <w:iCs/>
        </w:rPr>
        <w:t xml:space="preserve">п </w:t>
      </w:r>
      <w:r>
        <w:t>(при исправлении од</w:t>
      </w:r>
      <w:r>
        <w:softHyphen/>
        <w:t xml:space="preserve">ной, ошибки) или числу комбинаций из </w:t>
      </w:r>
      <w:r>
        <w:rPr>
          <w:i/>
          <w:iCs/>
        </w:rPr>
        <w:t xml:space="preserve">п </w:t>
      </w:r>
      <w:r>
        <w:t xml:space="preserve">по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и</w:t>
      </w:r>
      <w:r>
        <w:rPr>
          <w:i/>
          <w:iCs/>
        </w:rPr>
        <w:t xml:space="preserve">, </w:t>
      </w:r>
      <w:r>
        <w:t xml:space="preserve">где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и</w:t>
      </w:r>
      <w:r>
        <w:t xml:space="preserve"> — количест</w:t>
      </w:r>
      <w:r>
        <w:softHyphen/>
        <w:t>во ошибок, исправляемых кодом. Следует подчеркнуть, что не все неприводимые многочлены по</w:t>
      </w:r>
      <w:r>
        <w:softHyphen/>
        <w:t>зволяют формировать 2</w:t>
      </w:r>
      <w:r>
        <w:rPr>
          <w:vertAlign w:val="superscript"/>
          <w:lang w:val="en-US"/>
        </w:rPr>
        <w:t>r</w:t>
      </w:r>
      <w:r>
        <w:t xml:space="preserve">—1 различных остатков. Это присуще только определенному классу многочленов, которые именуются «примитивными». Так, </w:t>
      </w:r>
      <w:r>
        <w:rPr>
          <w:noProof/>
          <w:vertAlign w:val="subscript"/>
        </w:rPr>
        <w:drawing>
          <wp:inline distT="0" distB="0" distL="0" distR="0" wp14:anchorId="51516362" wp14:editId="3A5E9738">
            <wp:extent cx="1038225" cy="219075"/>
            <wp:effectExtent l="0" t="0" r="9525" b="9525"/>
            <wp:docPr id="21" name="Picture 21" descr="C:\Users\Василий\Desktop\Нов лек ТЭС\Лекции ТЭС последние\ГЛАВА 2_files\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C:\Users\Василий\Desktop\Нов лек ТЭС\Лекции ТЭС последние\ГЛАВА 2_files\image231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 </w:t>
      </w:r>
      <w:r>
        <w:t>удовлетворяет указанному требованию, а</w:t>
      </w:r>
      <w:r>
        <w:rPr>
          <w:noProof/>
          <w:vertAlign w:val="subscript"/>
        </w:rPr>
        <w:drawing>
          <wp:inline distT="0" distB="0" distL="0" distR="0" wp14:anchorId="59DC1968" wp14:editId="6BC7915B">
            <wp:extent cx="1704975" cy="219075"/>
            <wp:effectExtent l="0" t="0" r="9525" b="9525"/>
            <wp:docPr id="22" name="Picture 22" descr="C:\Users\Василий\Desktop\Нов лек ТЭС\Лекции ТЭС последние\ГЛАВА 2_files\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C:\Users\Василий\Desktop\Нов лек ТЭС\Лекции ТЭС последние\ГЛАВА 2_files\image232.gif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— нет, т. е. </w:t>
      </w:r>
      <w:r>
        <w:rPr>
          <w:noProof/>
          <w:vertAlign w:val="subscript"/>
        </w:rPr>
        <w:drawing>
          <wp:inline distT="0" distB="0" distL="0" distR="0" wp14:anchorId="62204372" wp14:editId="0AC86221">
            <wp:extent cx="333375" cy="161925"/>
            <wp:effectExtent l="0" t="0" r="9525" b="9525"/>
            <wp:docPr id="23" name="Picture 23" descr="C:\Users\Василий\Desktop\Нов лек ТЭС\Лекции ТЭС последние\ГЛАВА 2_files\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C:\Users\Василий\Desktop\Нов лек ТЭС\Лекции ТЭС последние\ГЛАВА 2_files\image233.gif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—прими</w:t>
      </w:r>
      <w:r>
        <w:softHyphen/>
        <w:t xml:space="preserve">тивный многочлен. Исходя из приведенных соображений, в качестве образующих многочленов используют примитивные многочлены. Их признаком является наличие остатка, равного единице только для </w:t>
      </w:r>
      <w:r>
        <w:rPr>
          <w:i/>
          <w:iCs/>
        </w:rPr>
        <w:t xml:space="preserve">х° </w:t>
      </w:r>
      <w:r>
        <w:t xml:space="preserve">и </w:t>
      </w:r>
      <w:r>
        <w:rPr>
          <w:i/>
          <w:iCs/>
        </w:rPr>
        <w:t>х</w:t>
      </w:r>
      <w:r>
        <w:rPr>
          <w:i/>
          <w:iCs/>
          <w:vertAlign w:val="superscript"/>
        </w:rPr>
        <w:t>п</w:t>
      </w:r>
      <w:r>
        <w:rPr>
          <w:i/>
          <w:iCs/>
        </w:rPr>
        <w:t xml:space="preserve">, </w:t>
      </w:r>
      <w:r>
        <w:t xml:space="preserve">где </w:t>
      </w:r>
      <w:r>
        <w:rPr>
          <w:i/>
          <w:iCs/>
        </w:rPr>
        <w:t xml:space="preserve">п </w:t>
      </w:r>
      <w:r>
        <w:t xml:space="preserve">— количество элементов в кодовой комбинации. Между </w:t>
      </w:r>
      <w:r>
        <w:rPr>
          <w:lang w:val="en-US"/>
        </w:rPr>
        <w:t>n</w:t>
      </w:r>
      <w:r w:rsidRPr="00DF3D91">
        <w:t xml:space="preserve"> </w:t>
      </w:r>
      <w:r>
        <w:rPr>
          <w:lang w:val="kk-KZ"/>
        </w:rPr>
        <w:t xml:space="preserve">и </w:t>
      </w:r>
      <w:r>
        <w:rPr>
          <w:lang w:val="en-US"/>
        </w:rPr>
        <w:t>r</w:t>
      </w:r>
      <w:r>
        <w:t xml:space="preserve"> для таких полиномов имеется зависимость </w:t>
      </w:r>
      <w:r>
        <w:rPr>
          <w:i/>
          <w:iCs/>
        </w:rPr>
        <w:t>2</w:t>
      </w:r>
      <w:r>
        <w:rPr>
          <w:i/>
          <w:iCs/>
          <w:vertAlign w:val="superscript"/>
          <w:lang w:val="en-US"/>
        </w:rPr>
        <w:t>r</w:t>
      </w:r>
      <w:r>
        <w:rPr>
          <w:i/>
          <w:iCs/>
        </w:rPr>
        <w:t>=п</w:t>
      </w:r>
      <w:r>
        <w:t xml:space="preserve">—1. Здесь </w:t>
      </w:r>
      <w:r>
        <w:rPr>
          <w:i/>
          <w:iCs/>
        </w:rPr>
        <w:t xml:space="preserve">п </w:t>
      </w:r>
      <w:r>
        <w:t>— максимальное количество элементов, при котором число различающих</w:t>
      </w:r>
      <w:r>
        <w:softHyphen/>
        <w:t xml:space="preserve">ся ненулевых остатков равно </w:t>
      </w:r>
      <w:r>
        <w:rPr>
          <w:i/>
          <w:iCs/>
        </w:rPr>
        <w:t>п</w:t>
      </w:r>
      <w:r>
        <w:t>—1. Поэтому в таблицах образующих полино</w:t>
      </w:r>
      <w:r>
        <w:softHyphen/>
        <w:t>мов указываются только примитивные полиномы.</w:t>
      </w:r>
    </w:p>
    <w:p w:rsidR="00854A6E" w:rsidRDefault="00854A6E" w:rsidP="00854A6E">
      <w:pPr>
        <w:jc w:val="center"/>
      </w:pPr>
      <w:r>
        <w:t xml:space="preserve">Для </w:t>
      </w:r>
      <w:r>
        <w:rPr>
          <w:i/>
          <w:iCs/>
        </w:rPr>
        <w:t>определения места ошибки</w:t>
      </w:r>
      <w:r>
        <w:t xml:space="preserve"> в циклическом коде существу</w:t>
      </w:r>
      <w:r>
        <w:softHyphen/>
        <w:t xml:space="preserve">ет несколько методов, основанных на анализе синдрома </w:t>
      </w:r>
      <w:r>
        <w:rPr>
          <w:i/>
          <w:iCs/>
        </w:rPr>
        <w:t xml:space="preserve">Р(х). </w:t>
      </w:r>
      <w:r>
        <w:t xml:space="preserve">Принятую кодовую комбинацию </w:t>
      </w:r>
      <w:r>
        <w:rPr>
          <w:i/>
          <w:iCs/>
          <w:lang w:val="en-US"/>
        </w:rPr>
        <w:t>F</w:t>
      </w:r>
      <w:r>
        <w:rPr>
          <w:i/>
          <w:iCs/>
        </w:rPr>
        <w:t xml:space="preserve">'(х) </w:t>
      </w:r>
      <w:r>
        <w:t>можно представить в виде</w:t>
      </w:r>
      <w:r>
        <w:rPr>
          <w:i/>
          <w:iCs/>
        </w:rPr>
        <w:t xml:space="preserve"> </w:t>
      </w:r>
      <w:r>
        <w:rPr>
          <w:i/>
          <w:noProof/>
          <w:vertAlign w:val="subscript"/>
        </w:rPr>
        <w:drawing>
          <wp:inline distT="0" distB="0" distL="0" distR="0" wp14:anchorId="44694D2D" wp14:editId="16C2923D">
            <wp:extent cx="1257300" cy="161925"/>
            <wp:effectExtent l="0" t="0" r="0" b="9525"/>
            <wp:docPr id="24" name="Picture 24" descr="C:\Users\Василий\Desktop\Нов лек ТЭС\Лекции ТЭС последние\ГЛАВА 2_files\image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C:\Users\Василий\Desktop\Нов лек ТЭС\Лекции ТЭС последние\ГЛАВА 2_files\image234.gif"/>
                    <pic:cNvPicPr>
                      <a:picLocks noChangeAspect="1" noChangeArrowheads="1"/>
                    </pic:cNvPicPr>
                  </pic:nvPicPr>
                  <pic:blipFill>
                    <a:blip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, </w:t>
      </w:r>
      <w:r>
        <w:t xml:space="preserve">где </w:t>
      </w:r>
      <w:r>
        <w:rPr>
          <w:i/>
          <w:iCs/>
        </w:rPr>
        <w:t xml:space="preserve">Е (х) </w:t>
      </w:r>
      <w:r>
        <w:t xml:space="preserve">—многочлен ошибки. Остаток от деления принятой кодовой комбинации </w:t>
      </w:r>
      <w:r>
        <w:rPr>
          <w:i/>
          <w:iCs/>
          <w:lang w:val="en-US"/>
        </w:rPr>
        <w:t>F</w:t>
      </w:r>
      <w:r>
        <w:rPr>
          <w:i/>
          <w:iCs/>
        </w:rPr>
        <w:t>'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(х) </w:t>
      </w:r>
      <w:r>
        <w:t xml:space="preserve">на </w:t>
      </w:r>
      <w:r>
        <w:rPr>
          <w:i/>
          <w:iCs/>
        </w:rPr>
        <w:t xml:space="preserve">Р(х) </w:t>
      </w:r>
      <w:r>
        <w:t xml:space="preserve">равен остатку от деления на </w:t>
      </w:r>
      <w:r>
        <w:rPr>
          <w:i/>
          <w:iCs/>
        </w:rPr>
        <w:t xml:space="preserve">Р(х) </w:t>
      </w:r>
      <w:r>
        <w:t xml:space="preserve">кодовой комбинации ошибки </w:t>
      </w:r>
      <w:r>
        <w:rPr>
          <w:i/>
          <w:iCs/>
        </w:rPr>
        <w:t>Е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(х), </w:t>
      </w:r>
      <w:r>
        <w:t xml:space="preserve">если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(х) = </w:t>
      </w:r>
      <w:r>
        <w:rPr>
          <w:i/>
          <w:iCs/>
          <w:lang w:val="en-US"/>
        </w:rPr>
        <w:t>F</w:t>
      </w:r>
      <w:r>
        <w:rPr>
          <w:i/>
          <w:iCs/>
        </w:rPr>
        <w:t>'</w:t>
      </w:r>
      <w:r>
        <w:rPr>
          <w:i/>
          <w:iCs/>
          <w:vertAlign w:val="subscript"/>
        </w:rPr>
        <w:t>п</w:t>
      </w:r>
      <w:r>
        <w:rPr>
          <w:i/>
          <w:iCs/>
        </w:rPr>
        <w:t>(х)</w:t>
      </w:r>
      <w:r>
        <w:rPr>
          <w:i/>
          <w:noProof/>
          <w:vertAlign w:val="subscript"/>
        </w:rPr>
        <w:drawing>
          <wp:inline distT="0" distB="0" distL="0" distR="0" wp14:anchorId="4170EE4D" wp14:editId="2472C608">
            <wp:extent cx="133350" cy="133350"/>
            <wp:effectExtent l="0" t="0" r="0" b="0"/>
            <wp:docPr id="25" name="Picture 25" descr="C:\Users\Василий\Desktop\Нов лек ТЭС\Лекции ТЭС последние\ГЛАВА 2_files\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C:\Users\Василий\Desktop\Нов лек ТЭС\Лекции ТЭС последние\ГЛАВА 2_files\image235.gif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 xml:space="preserve"> Е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(х). </w:t>
      </w:r>
      <w:r>
        <w:t>Это условие справедливо, если код способен исправлять коли</w:t>
      </w:r>
      <w:r>
        <w:softHyphen/>
        <w:t xml:space="preserve">чество ошибок </w:t>
      </w:r>
      <w:r>
        <w:rPr>
          <w:i/>
          <w:iCs/>
          <w:lang w:val="en-US"/>
        </w:rPr>
        <w:t>t</w:t>
      </w:r>
      <w:r>
        <w:rPr>
          <w:vertAlign w:val="subscript"/>
        </w:rPr>
        <w:t>и</w:t>
      </w:r>
      <w:r>
        <w:t xml:space="preserve">, равное или меньшее веса комбинации </w:t>
      </w:r>
      <w:r>
        <w:rPr>
          <w:i/>
          <w:iCs/>
        </w:rPr>
        <w:t>Е</w:t>
      </w:r>
      <w:r>
        <w:rPr>
          <w:i/>
          <w:iCs/>
          <w:vertAlign w:val="subscript"/>
        </w:rPr>
        <w:t>п</w:t>
      </w:r>
      <w:r>
        <w:t>(0</w:t>
      </w:r>
      <w:r>
        <w:rPr>
          <w:i/>
          <w:iCs/>
        </w:rPr>
        <w:t>,</w:t>
      </w:r>
      <w:r>
        <w:t>1). На основе этого свойства можно заключить, что синдром не за</w:t>
      </w:r>
      <w:r>
        <w:softHyphen/>
        <w:t>висит от переданной кодовой комбинации, а определяется лишь наличием ошибок. Указанное свойство можно использовать для определения ошибочно принятого элемента. Предположим, что ошибка произошла в старшем разряде пере</w:t>
      </w:r>
      <w:r>
        <w:softHyphen/>
        <w:t xml:space="preserve">данной кодовой комбинации </w:t>
      </w:r>
      <w:r>
        <w:rPr>
          <w:i/>
          <w:iCs/>
          <w:lang w:val="en-US"/>
        </w:rPr>
        <w:t>a</w:t>
      </w:r>
      <w:r>
        <w:rPr>
          <w:i/>
          <w:iCs/>
          <w:vertAlign w:val="subscript"/>
        </w:rPr>
        <w:t>1.</w:t>
      </w:r>
      <w:r>
        <w:t xml:space="preserve"> В этом случае </w:t>
      </w:r>
      <w:r>
        <w:rPr>
          <w:i/>
          <w:iCs/>
          <w:lang w:val="en-US"/>
        </w:rPr>
        <w:t>R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(х) - </w:t>
      </w:r>
      <w:r>
        <w:t>есть оста</w:t>
      </w:r>
      <w:r>
        <w:softHyphen/>
        <w:t xml:space="preserve">ток от деления принятой комбинации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(х) </w:t>
      </w:r>
      <w:r>
        <w:t xml:space="preserve">на </w:t>
      </w:r>
      <w:r>
        <w:rPr>
          <w:i/>
          <w:iCs/>
        </w:rPr>
        <w:t xml:space="preserve">Р(х). </w:t>
      </w:r>
      <w:r>
        <w:t>Такой же ос</w:t>
      </w:r>
      <w:r>
        <w:softHyphen/>
        <w:t xml:space="preserve">таток </w:t>
      </w:r>
      <w:r>
        <w:rPr>
          <w:i/>
          <w:iCs/>
          <w:lang w:val="en-US"/>
        </w:rPr>
        <w:t>R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 (х) </w:t>
      </w:r>
      <w:r>
        <w:t xml:space="preserve">получается, если разделить на </w:t>
      </w:r>
      <w:r>
        <w:rPr>
          <w:i/>
          <w:iCs/>
        </w:rPr>
        <w:t xml:space="preserve">Р(х) </w:t>
      </w:r>
      <w:r>
        <w:t xml:space="preserve">комбинацию ошибки, т. е. многочлен </w:t>
      </w:r>
      <w:r>
        <w:rPr>
          <w:i/>
          <w:iCs/>
        </w:rPr>
        <w:t>х</w:t>
      </w:r>
      <w:r>
        <w:rPr>
          <w:i/>
          <w:iCs/>
          <w:vertAlign w:val="superscript"/>
        </w:rPr>
        <w:t>п</w:t>
      </w:r>
      <w:r>
        <w:rPr>
          <w:i/>
          <w:iCs/>
        </w:rPr>
        <w:t>-</w:t>
      </w:r>
      <w:r>
        <w:rPr>
          <w:i/>
          <w:iCs/>
          <w:vertAlign w:val="superscript"/>
        </w:rPr>
        <w:t>1</w:t>
      </w:r>
      <w:r>
        <w:rPr>
          <w:i/>
          <w:iCs/>
        </w:rPr>
        <w:t xml:space="preserve">. </w:t>
      </w:r>
      <w:r>
        <w:t>Но такой же остаток по</w:t>
      </w:r>
      <w:r>
        <w:softHyphen/>
        <w:t xml:space="preserve">лучится при ошибке в разряде </w:t>
      </w:r>
      <w:r>
        <w:rPr>
          <w:i/>
          <w:iCs/>
        </w:rPr>
        <w:t>а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, </w:t>
      </w:r>
      <w:r>
        <w:t xml:space="preserve">если </w:t>
      </w:r>
      <w:r>
        <w:rPr>
          <w:i/>
          <w:iCs/>
          <w:lang w:val="en-US"/>
        </w:rPr>
        <w:t>F</w:t>
      </w:r>
      <w:r>
        <w:rPr>
          <w:i/>
          <w:iCs/>
          <w:vertAlign w:val="superscript"/>
        </w:rPr>
        <w:t>/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(х) </w:t>
      </w:r>
      <w:r>
        <w:t xml:space="preserve">умножить на </w:t>
      </w:r>
      <w:r>
        <w:rPr>
          <w:i/>
          <w:iCs/>
        </w:rPr>
        <w:t xml:space="preserve">х. </w:t>
      </w:r>
      <w:r>
        <w:t>То же будет и при ошибке в разряде а</w:t>
      </w:r>
      <w:r>
        <w:rPr>
          <w:vertAlign w:val="subscript"/>
        </w:rPr>
        <w:t>3</w:t>
      </w:r>
      <w:r>
        <w:t xml:space="preserve">, если </w:t>
      </w:r>
      <w:r>
        <w:rPr>
          <w:i/>
          <w:iCs/>
          <w:lang w:val="en-US"/>
        </w:rPr>
        <w:t>F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(х) </w:t>
      </w:r>
      <w:r>
        <w:t xml:space="preserve">умножить на </w:t>
      </w:r>
      <w:r>
        <w:rPr>
          <w:i/>
          <w:iCs/>
        </w:rPr>
        <w:t>х</w:t>
      </w:r>
      <w:r>
        <w:rPr>
          <w:i/>
          <w:iCs/>
          <w:vertAlign w:val="superscript"/>
        </w:rPr>
        <w:t>2</w:t>
      </w:r>
      <w:r>
        <w:rPr>
          <w:i/>
          <w:iCs/>
        </w:rPr>
        <w:t xml:space="preserve">, </w:t>
      </w:r>
      <w:r>
        <w:t>и т. д.</w:t>
      </w:r>
    </w:p>
    <w:p w:rsidR="00E10DA9" w:rsidRDefault="00854A6E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215"/>
    <w:rsid w:val="000A3B22"/>
    <w:rsid w:val="00752215"/>
    <w:rsid w:val="00854A6E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6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4A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A6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A6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4A6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A6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4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9.jpg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4.gif" TargetMode="External"/><Relationship Id="rId2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2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7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3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8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3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1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2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6.gif" TargetMode="External"/><Relationship Id="rId2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5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2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7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0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1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1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9.gif" TargetMode="External"/><Relationship Id="rId2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4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6.jpg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5.gif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15.jpg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0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28.gif" TargetMode="External"/><Relationship Id="rId2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33.gi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1363</Words>
  <Characters>7774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2020-09-24T19:23:00Z</dcterms:created>
  <dcterms:modified xsi:type="dcterms:W3CDTF">2020-09-24T19:23:00Z</dcterms:modified>
</cp:coreProperties>
</file>